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07E" w:rsidRDefault="00D0007E"/>
    <w:p w:rsidR="00723945" w:rsidRDefault="00723945" w:rsidP="00723945">
      <w:pPr>
        <w:jc w:val="center"/>
        <w:rPr>
          <w:b/>
          <w:sz w:val="40"/>
          <w:u w:val="single"/>
        </w:rPr>
      </w:pPr>
      <w:r>
        <w:rPr>
          <w:b/>
          <w:sz w:val="40"/>
          <w:u w:val="single"/>
        </w:rPr>
        <w:t xml:space="preserve">Maths at </w:t>
      </w:r>
      <w:proofErr w:type="gramStart"/>
      <w:r>
        <w:rPr>
          <w:b/>
          <w:sz w:val="40"/>
          <w:u w:val="single"/>
        </w:rPr>
        <w:t>The</w:t>
      </w:r>
      <w:proofErr w:type="gramEnd"/>
      <w:r>
        <w:rPr>
          <w:b/>
          <w:sz w:val="40"/>
          <w:u w:val="single"/>
        </w:rPr>
        <w:t xml:space="preserve"> Plantation Garden</w:t>
      </w:r>
    </w:p>
    <w:p w:rsidR="00D0007E" w:rsidRPr="00D0007E" w:rsidRDefault="00D0007E" w:rsidP="00723945">
      <w:pPr>
        <w:jc w:val="center"/>
        <w:rPr>
          <w:b/>
          <w:sz w:val="40"/>
          <w:u w:val="single"/>
        </w:rPr>
      </w:pPr>
      <w:r w:rsidRPr="00D0007E">
        <w:rPr>
          <w:b/>
          <w:sz w:val="40"/>
          <w:u w:val="single"/>
        </w:rPr>
        <w:t xml:space="preserve">Planting Designs and </w:t>
      </w:r>
      <w:proofErr w:type="spellStart"/>
      <w:r w:rsidRPr="00D0007E">
        <w:rPr>
          <w:b/>
          <w:sz w:val="40"/>
          <w:u w:val="single"/>
        </w:rPr>
        <w:t>Costings</w:t>
      </w:r>
      <w:proofErr w:type="spellEnd"/>
    </w:p>
    <w:p w:rsidR="00D0007E" w:rsidRPr="00723945" w:rsidRDefault="00D0007E">
      <w:pPr>
        <w:rPr>
          <w:sz w:val="24"/>
        </w:rPr>
      </w:pPr>
      <w:r w:rsidRPr="00723945">
        <w:rPr>
          <w:sz w:val="24"/>
        </w:rPr>
        <w:t xml:space="preserve">Giving the children a flower bed to design a panting scheme of tulip bulbs could lead to a number of different mathematical tasks.    These are some of the planting </w:t>
      </w:r>
      <w:r w:rsidR="009B7079" w:rsidRPr="00723945">
        <w:rPr>
          <w:sz w:val="24"/>
        </w:rPr>
        <w:t xml:space="preserve">bays at the Plantation Garden.  </w:t>
      </w:r>
    </w:p>
    <w:p w:rsidR="00D0007E" w:rsidRDefault="00D0007E" w:rsidP="00CE748F">
      <w:pPr>
        <w:jc w:val="center"/>
      </w:pPr>
      <w:r w:rsidRPr="009B7079">
        <w:rPr>
          <w:rFonts w:ascii="Times New Roman" w:eastAsia="Times New Roman" w:hAnsi="Times New Roman" w:cs="Times New Roman"/>
          <w:noProof/>
          <w:color w:val="0000FF"/>
          <w:sz w:val="36"/>
          <w:szCs w:val="24"/>
          <w:lang w:eastAsia="en-GB"/>
        </w:rPr>
        <w:drawing>
          <wp:inline distT="0" distB="0" distL="0" distR="0" wp14:anchorId="2C7F73F6" wp14:editId="30907F55">
            <wp:extent cx="2231894" cy="3178548"/>
            <wp:effectExtent l="0" t="0" r="0" b="3175"/>
            <wp:docPr id="7" name="Picture 7" descr="Scan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can000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32042" cy="3178759"/>
                    </a:xfrm>
                    <a:prstGeom prst="rect">
                      <a:avLst/>
                    </a:prstGeom>
                    <a:noFill/>
                    <a:ln>
                      <a:noFill/>
                    </a:ln>
                  </pic:spPr>
                </pic:pic>
              </a:graphicData>
            </a:graphic>
          </wp:inline>
        </w:drawing>
      </w:r>
      <w:r>
        <w:rPr>
          <w:rFonts w:ascii="Times New Roman" w:eastAsia="Times New Roman" w:hAnsi="Times New Roman" w:cs="Times New Roman"/>
          <w:noProof/>
          <w:color w:val="0000FF"/>
          <w:sz w:val="24"/>
          <w:szCs w:val="24"/>
          <w:lang w:eastAsia="en-GB"/>
        </w:rPr>
        <w:drawing>
          <wp:inline distT="0" distB="0" distL="0" distR="0" wp14:anchorId="4C6D5CD8" wp14:editId="1A8F9686">
            <wp:extent cx="2276475" cy="3182913"/>
            <wp:effectExtent l="0" t="0" r="0" b="0"/>
            <wp:docPr id="6" name="Picture 6" descr="Scan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can0001">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77772" cy="3184727"/>
                    </a:xfrm>
                    <a:prstGeom prst="rect">
                      <a:avLst/>
                    </a:prstGeom>
                    <a:noFill/>
                    <a:ln>
                      <a:noFill/>
                    </a:ln>
                  </pic:spPr>
                </pic:pic>
              </a:graphicData>
            </a:graphic>
          </wp:inline>
        </w:drawing>
      </w:r>
      <w:bookmarkStart w:id="0" w:name="_GoBack"/>
      <w:bookmarkEnd w:id="0"/>
    </w:p>
    <w:p w:rsidR="00D0007E" w:rsidRDefault="009B7079">
      <w:pPr>
        <w:rPr>
          <w:b/>
          <w:sz w:val="36"/>
          <w:u w:val="single"/>
        </w:rPr>
      </w:pPr>
      <w:r w:rsidRPr="009B7079">
        <w:rPr>
          <w:b/>
          <w:sz w:val="36"/>
          <w:u w:val="single"/>
        </w:rPr>
        <w:t>Shape and Space</w:t>
      </w:r>
    </w:p>
    <w:p w:rsidR="00F00F74" w:rsidRDefault="009B7079">
      <w:pPr>
        <w:rPr>
          <w:sz w:val="24"/>
        </w:rPr>
      </w:pPr>
      <w:r>
        <w:rPr>
          <w:sz w:val="24"/>
        </w:rPr>
        <w:t xml:space="preserve">The round and octagonal beds could be used to design planting arrangements that include both rotational and reflective symmetry with shapes and colours.  </w:t>
      </w:r>
      <w:r w:rsidR="00F00F74">
        <w:rPr>
          <w:sz w:val="24"/>
        </w:rPr>
        <w:t xml:space="preserve">Explore existing plans and photographs to look at the symmetry in these.  Why are the beds often symmetrical?  </w:t>
      </w:r>
    </w:p>
    <w:p w:rsidR="00723945" w:rsidRDefault="00723945">
      <w:pPr>
        <w:rPr>
          <w:sz w:val="24"/>
        </w:rPr>
      </w:pPr>
      <w:r>
        <w:rPr>
          <w:sz w:val="24"/>
        </w:rPr>
        <w:t>Take a look at some of the designs already on the website to inspire your own.</w:t>
      </w:r>
    </w:p>
    <w:p w:rsidR="009B7079" w:rsidRDefault="009B7079">
      <w:pPr>
        <w:rPr>
          <w:sz w:val="24"/>
        </w:rPr>
      </w:pPr>
      <w:r>
        <w:rPr>
          <w:sz w:val="24"/>
        </w:rPr>
        <w:t xml:space="preserve">To make this more challenging, you could specify the order of symmetry the children need to include, or to specify certain shapes that need to appear in the planting.  </w:t>
      </w:r>
    </w:p>
    <w:p w:rsidR="00723945" w:rsidRDefault="00723945" w:rsidP="00723945">
      <w:pPr>
        <w:jc w:val="center"/>
        <w:rPr>
          <w:b/>
          <w:sz w:val="36"/>
          <w:u w:val="single"/>
        </w:rPr>
      </w:pPr>
      <w:r>
        <w:rPr>
          <w:noProof/>
          <w:lang w:eastAsia="en-GB"/>
        </w:rPr>
        <w:drawing>
          <wp:inline distT="0" distB="0" distL="0" distR="0" wp14:anchorId="00EA2477" wp14:editId="3185A10E">
            <wp:extent cx="4355465" cy="963295"/>
            <wp:effectExtent l="0" t="0" r="6985" b="8255"/>
            <wp:docPr id="1" name="Picture 2" descr="T:\Staff Only\Plantation Gardens project\Logo etc\Plantation Garden Project footer banner2.jpg"/>
            <wp:cNvGraphicFramePr/>
            <a:graphic xmlns:a="http://schemas.openxmlformats.org/drawingml/2006/main">
              <a:graphicData uri="http://schemas.openxmlformats.org/drawingml/2006/picture">
                <pic:pic xmlns:pic="http://schemas.openxmlformats.org/drawingml/2006/picture">
                  <pic:nvPicPr>
                    <pic:cNvPr id="23" name="Picture 2" descr="T:\Staff Only\Plantation Gardens project\Logo etc\Plantation Garden Project footer banner2.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55465" cy="963295"/>
                    </a:xfrm>
                    <a:prstGeom prst="rect">
                      <a:avLst/>
                    </a:prstGeom>
                    <a:noFill/>
                    <a:extLst/>
                  </pic:spPr>
                </pic:pic>
              </a:graphicData>
            </a:graphic>
          </wp:inline>
        </w:drawing>
      </w:r>
    </w:p>
    <w:p w:rsidR="00F00F74" w:rsidRDefault="00F00F74">
      <w:pPr>
        <w:rPr>
          <w:b/>
          <w:sz w:val="36"/>
          <w:u w:val="single"/>
        </w:rPr>
      </w:pPr>
      <w:r w:rsidRPr="00F00F74">
        <w:rPr>
          <w:b/>
          <w:sz w:val="36"/>
          <w:u w:val="single"/>
        </w:rPr>
        <w:lastRenderedPageBreak/>
        <w:t>Area and Peri</w:t>
      </w:r>
      <w:r w:rsidR="00E52EFF">
        <w:rPr>
          <w:b/>
          <w:sz w:val="36"/>
          <w:u w:val="single"/>
        </w:rPr>
        <w:t>meter</w:t>
      </w:r>
    </w:p>
    <w:p w:rsidR="00F00F74" w:rsidRDefault="00F00F74">
      <w:pPr>
        <w:rPr>
          <w:sz w:val="24"/>
        </w:rPr>
      </w:pPr>
      <w:r>
        <w:rPr>
          <w:sz w:val="24"/>
        </w:rPr>
        <w:t xml:space="preserve">These plans could also be used to calculate the area of each colour included in the display.  This could easily be differentiated by giving the children the rectangular bed for the most straightforward arrangements, the octagonal bed for more complex and the circular beds to include area of circles, which may also include measuring and calculating angles for sections of the designs. </w:t>
      </w:r>
      <w:r w:rsidR="00723945">
        <w:rPr>
          <w:sz w:val="24"/>
        </w:rPr>
        <w:t xml:space="preserve"> (See the PowerPoint for some challenging area and perimeter work).</w:t>
      </w:r>
    </w:p>
    <w:p w:rsidR="00F00F74" w:rsidRDefault="00F00F74">
      <w:pPr>
        <w:rPr>
          <w:sz w:val="24"/>
        </w:rPr>
      </w:pPr>
      <w:r>
        <w:rPr>
          <w:sz w:val="24"/>
        </w:rPr>
        <w:t>The areas could be calculated after having created the plans, or could be specified in advance – either asking for a certain area in m</w:t>
      </w:r>
      <w:r w:rsidRPr="00F00F74">
        <w:rPr>
          <w:sz w:val="24"/>
          <w:vertAlign w:val="superscript"/>
        </w:rPr>
        <w:t>2</w:t>
      </w:r>
      <w:r>
        <w:rPr>
          <w:sz w:val="24"/>
          <w:vertAlign w:val="superscript"/>
        </w:rPr>
        <w:t xml:space="preserve"> </w:t>
      </w:r>
      <w:r>
        <w:rPr>
          <w:sz w:val="24"/>
        </w:rPr>
        <w:t>for different colours, or a proportion or percentage of the bed in different colours.</w:t>
      </w:r>
    </w:p>
    <w:p w:rsidR="00F00F74" w:rsidRPr="00F00F74" w:rsidRDefault="00F00F74">
      <w:pPr>
        <w:rPr>
          <w:sz w:val="24"/>
        </w:rPr>
      </w:pPr>
      <w:r>
        <w:rPr>
          <w:sz w:val="24"/>
        </w:rPr>
        <w:t xml:space="preserve">Once areas have been established, </w:t>
      </w:r>
      <w:r w:rsidR="00E52EFF">
        <w:rPr>
          <w:sz w:val="24"/>
        </w:rPr>
        <w:t xml:space="preserve">the children could be asked to work out the quantity and cost of bulbs for their arrangement.  There are a number of catalogues or websites that could be used for this, or children </w:t>
      </w:r>
      <w:r w:rsidR="00E52EFF">
        <w:t>could work together to source their own company to achieve their desired planting scheme.</w:t>
      </w:r>
    </w:p>
    <w:p w:rsidR="00D0007E" w:rsidRDefault="00E52EFF">
      <w:r>
        <w:t>This particu</w:t>
      </w:r>
      <w:r w:rsidR="00723945">
        <w:t>lar website has tulips split in</w:t>
      </w:r>
      <w:r>
        <w:t xml:space="preserve">to different varieties with prices for 10 or for 50 bulbs: </w:t>
      </w:r>
      <w:hyperlink r:id="rId10" w:history="1">
        <w:r w:rsidR="00D0007E" w:rsidRPr="00364610">
          <w:rPr>
            <w:rStyle w:val="Hyperlink"/>
          </w:rPr>
          <w:t>https://www.blomsbulbs.com/</w:t>
        </w:r>
      </w:hyperlink>
    </w:p>
    <w:p w:rsidR="00D0007E" w:rsidRDefault="00D0007E">
      <w:r>
        <w:t xml:space="preserve">100 bulbs per square </w:t>
      </w:r>
      <w:r w:rsidR="00E52EFF">
        <w:t>metre</w:t>
      </w:r>
      <w:r>
        <w:t xml:space="preserve"> </w:t>
      </w:r>
      <w:proofErr w:type="gramStart"/>
      <w:r>
        <w:t>is</w:t>
      </w:r>
      <w:proofErr w:type="gramEnd"/>
      <w:r>
        <w:t xml:space="preserve"> suggested, but this </w:t>
      </w:r>
      <w:r w:rsidR="00723945">
        <w:t xml:space="preserve">value </w:t>
      </w:r>
      <w:r>
        <w:t>could be changed</w:t>
      </w:r>
      <w:r w:rsidR="00E52EFF">
        <w:t xml:space="preserve"> if desired</w:t>
      </w:r>
      <w:r>
        <w:t>.</w:t>
      </w:r>
    </w:p>
    <w:p w:rsidR="00D0007E" w:rsidRDefault="00D0007E">
      <w:r>
        <w:t>Th</w:t>
      </w:r>
      <w:r w:rsidR="00E52EFF">
        <w:t>is company</w:t>
      </w:r>
      <w:r>
        <w:t xml:space="preserve"> also offer percentage discounts on larger orders which will need to be calculated</w:t>
      </w:r>
      <w:r w:rsidR="00723945">
        <w:t xml:space="preserve"> in order to work out the total cost of the displays</w:t>
      </w:r>
      <w:r>
        <w:t>:</w:t>
      </w:r>
    </w:p>
    <w:p w:rsidR="00723945" w:rsidRDefault="00723945"/>
    <w:p w:rsidR="00D0007E" w:rsidRPr="00D0007E" w:rsidRDefault="00D0007E" w:rsidP="00D0007E">
      <w:pPr>
        <w:shd w:val="clear" w:color="auto" w:fill="778621"/>
        <w:spacing w:after="15" w:line="456" w:lineRule="auto"/>
        <w:rPr>
          <w:rFonts w:ascii="Arial" w:eastAsia="Times New Roman" w:hAnsi="Arial" w:cs="Arial"/>
          <w:b/>
          <w:color w:val="FFFFFF"/>
          <w:szCs w:val="19"/>
          <w:u w:val="single"/>
          <w:lang w:val="en" w:eastAsia="en-GB"/>
        </w:rPr>
      </w:pPr>
      <w:r w:rsidRPr="00E52EFF">
        <w:rPr>
          <w:rFonts w:ascii="Arial" w:eastAsia="Times New Roman" w:hAnsi="Arial" w:cs="Arial"/>
          <w:b/>
          <w:color w:val="FFFFFF"/>
          <w:szCs w:val="19"/>
          <w:u w:val="single"/>
          <w:lang w:val="en" w:eastAsia="en-GB"/>
        </w:rPr>
        <w:t>TOTAL SPEND</w:t>
      </w:r>
      <w:r w:rsidR="00E52EFF" w:rsidRPr="00E52EFF">
        <w:rPr>
          <w:rFonts w:ascii="Arial" w:eastAsia="Times New Roman" w:hAnsi="Arial" w:cs="Arial"/>
          <w:b/>
          <w:color w:val="FFFFFF"/>
          <w:szCs w:val="19"/>
          <w:u w:val="single"/>
          <w:lang w:val="en" w:eastAsia="en-GB"/>
        </w:rPr>
        <w:t xml:space="preserve"> </w:t>
      </w:r>
      <w:r w:rsidRPr="00E52EFF">
        <w:rPr>
          <w:rFonts w:ascii="Arial" w:eastAsia="Times New Roman" w:hAnsi="Arial" w:cs="Arial"/>
          <w:b/>
          <w:color w:val="FFFFFF"/>
          <w:szCs w:val="19"/>
          <w:u w:val="single"/>
          <w:lang w:val="en" w:eastAsia="en-GB"/>
        </w:rPr>
        <w:t>DISCOUNT</w:t>
      </w:r>
    </w:p>
    <w:p w:rsidR="00D0007E" w:rsidRPr="00D0007E" w:rsidRDefault="00D0007E" w:rsidP="00D0007E">
      <w:pPr>
        <w:shd w:val="clear" w:color="auto" w:fill="6E7919"/>
        <w:spacing w:after="15" w:line="456" w:lineRule="auto"/>
        <w:rPr>
          <w:rFonts w:ascii="Arial" w:eastAsia="Times New Roman" w:hAnsi="Arial" w:cs="Arial"/>
          <w:color w:val="FFFFFF"/>
          <w:szCs w:val="19"/>
          <w:lang w:val="en" w:eastAsia="en-GB"/>
        </w:rPr>
      </w:pPr>
      <w:r w:rsidRPr="00D0007E">
        <w:rPr>
          <w:rFonts w:ascii="Arial" w:eastAsia="Times New Roman" w:hAnsi="Arial" w:cs="Arial"/>
          <w:color w:val="FFFFFF"/>
          <w:szCs w:val="19"/>
          <w:lang w:val="en" w:eastAsia="en-GB"/>
        </w:rPr>
        <w:t>£125 TO £249</w:t>
      </w:r>
      <w:r w:rsidR="00E52EFF">
        <w:rPr>
          <w:rFonts w:ascii="Arial" w:eastAsia="Times New Roman" w:hAnsi="Arial" w:cs="Arial"/>
          <w:color w:val="FFFFFF"/>
          <w:szCs w:val="19"/>
          <w:lang w:val="en" w:eastAsia="en-GB"/>
        </w:rPr>
        <w:t xml:space="preserve">    </w:t>
      </w:r>
      <w:proofErr w:type="gramStart"/>
      <w:r w:rsidRPr="00D0007E">
        <w:rPr>
          <w:rFonts w:ascii="Arial" w:eastAsia="Times New Roman" w:hAnsi="Arial" w:cs="Arial"/>
          <w:b/>
          <w:bCs/>
          <w:i/>
          <w:iCs/>
          <w:color w:val="FFFFFF"/>
          <w:szCs w:val="19"/>
          <w:lang w:val="en" w:eastAsia="en-GB"/>
        </w:rPr>
        <w:t>save</w:t>
      </w:r>
      <w:proofErr w:type="gramEnd"/>
      <w:r w:rsidRPr="00D0007E">
        <w:rPr>
          <w:rFonts w:ascii="Arial" w:eastAsia="Times New Roman" w:hAnsi="Arial" w:cs="Arial"/>
          <w:b/>
          <w:bCs/>
          <w:i/>
          <w:iCs/>
          <w:color w:val="FFFFFF"/>
          <w:szCs w:val="19"/>
          <w:lang w:val="en" w:eastAsia="en-GB"/>
        </w:rPr>
        <w:t xml:space="preserve"> 5%</w:t>
      </w:r>
    </w:p>
    <w:p w:rsidR="00D0007E" w:rsidRPr="00D0007E" w:rsidRDefault="00D0007E" w:rsidP="00D0007E">
      <w:pPr>
        <w:shd w:val="clear" w:color="auto" w:fill="616C10"/>
        <w:spacing w:after="15" w:line="456" w:lineRule="auto"/>
        <w:rPr>
          <w:rFonts w:ascii="Arial" w:eastAsia="Times New Roman" w:hAnsi="Arial" w:cs="Arial"/>
          <w:color w:val="FFFFFF"/>
          <w:szCs w:val="19"/>
          <w:lang w:val="en" w:eastAsia="en-GB"/>
        </w:rPr>
      </w:pPr>
      <w:r w:rsidRPr="00D0007E">
        <w:rPr>
          <w:rFonts w:ascii="Arial" w:eastAsia="Times New Roman" w:hAnsi="Arial" w:cs="Arial"/>
          <w:color w:val="FFFFFF"/>
          <w:szCs w:val="19"/>
          <w:lang w:val="en" w:eastAsia="en-GB"/>
        </w:rPr>
        <w:t>£250 TO £499</w:t>
      </w:r>
      <w:r w:rsidR="00E52EFF">
        <w:rPr>
          <w:rFonts w:ascii="Arial" w:eastAsia="Times New Roman" w:hAnsi="Arial" w:cs="Arial"/>
          <w:color w:val="FFFFFF"/>
          <w:szCs w:val="19"/>
          <w:lang w:val="en" w:eastAsia="en-GB"/>
        </w:rPr>
        <w:t xml:space="preserve">   </w:t>
      </w:r>
      <w:proofErr w:type="gramStart"/>
      <w:r w:rsidRPr="00D0007E">
        <w:rPr>
          <w:rFonts w:ascii="Arial" w:eastAsia="Times New Roman" w:hAnsi="Arial" w:cs="Arial"/>
          <w:b/>
          <w:bCs/>
          <w:i/>
          <w:iCs/>
          <w:color w:val="FFFFFF"/>
          <w:szCs w:val="19"/>
          <w:lang w:val="en" w:eastAsia="en-GB"/>
        </w:rPr>
        <w:t>save</w:t>
      </w:r>
      <w:proofErr w:type="gramEnd"/>
      <w:r w:rsidRPr="00D0007E">
        <w:rPr>
          <w:rFonts w:ascii="Arial" w:eastAsia="Times New Roman" w:hAnsi="Arial" w:cs="Arial"/>
          <w:b/>
          <w:bCs/>
          <w:i/>
          <w:iCs/>
          <w:color w:val="FFFFFF"/>
          <w:szCs w:val="19"/>
          <w:lang w:val="en" w:eastAsia="en-GB"/>
        </w:rPr>
        <w:t xml:space="preserve"> 10%</w:t>
      </w:r>
    </w:p>
    <w:p w:rsidR="00D0007E" w:rsidRPr="00D0007E" w:rsidRDefault="00D0007E" w:rsidP="00D0007E">
      <w:pPr>
        <w:shd w:val="clear" w:color="auto" w:fill="525D0E"/>
        <w:spacing w:after="15" w:line="456" w:lineRule="auto"/>
        <w:rPr>
          <w:rFonts w:ascii="Arial" w:eastAsia="Times New Roman" w:hAnsi="Arial" w:cs="Arial"/>
          <w:color w:val="FFFFFF"/>
          <w:szCs w:val="19"/>
          <w:lang w:val="en" w:eastAsia="en-GB"/>
        </w:rPr>
      </w:pPr>
      <w:r w:rsidRPr="00D0007E">
        <w:rPr>
          <w:rFonts w:ascii="Arial" w:eastAsia="Times New Roman" w:hAnsi="Arial" w:cs="Arial"/>
          <w:color w:val="FFFFFF"/>
          <w:szCs w:val="19"/>
          <w:lang w:val="en" w:eastAsia="en-GB"/>
        </w:rPr>
        <w:t>£500 TO £999</w:t>
      </w:r>
      <w:r w:rsidR="00E52EFF">
        <w:rPr>
          <w:rFonts w:ascii="Arial" w:eastAsia="Times New Roman" w:hAnsi="Arial" w:cs="Arial"/>
          <w:color w:val="FFFFFF"/>
          <w:szCs w:val="19"/>
          <w:lang w:val="en" w:eastAsia="en-GB"/>
        </w:rPr>
        <w:t xml:space="preserve">   </w:t>
      </w:r>
      <w:proofErr w:type="gramStart"/>
      <w:r w:rsidRPr="00D0007E">
        <w:rPr>
          <w:rFonts w:ascii="Arial" w:eastAsia="Times New Roman" w:hAnsi="Arial" w:cs="Arial"/>
          <w:b/>
          <w:bCs/>
          <w:i/>
          <w:iCs/>
          <w:color w:val="FFFFFF"/>
          <w:szCs w:val="19"/>
          <w:lang w:val="en" w:eastAsia="en-GB"/>
        </w:rPr>
        <w:t>save</w:t>
      </w:r>
      <w:proofErr w:type="gramEnd"/>
      <w:r w:rsidRPr="00D0007E">
        <w:rPr>
          <w:rFonts w:ascii="Arial" w:eastAsia="Times New Roman" w:hAnsi="Arial" w:cs="Arial"/>
          <w:b/>
          <w:bCs/>
          <w:i/>
          <w:iCs/>
          <w:color w:val="FFFFFF"/>
          <w:szCs w:val="19"/>
          <w:lang w:val="en" w:eastAsia="en-GB"/>
        </w:rPr>
        <w:t xml:space="preserve"> 15%</w:t>
      </w:r>
    </w:p>
    <w:p w:rsidR="00D0007E" w:rsidRPr="00D0007E" w:rsidRDefault="00D0007E" w:rsidP="00D0007E">
      <w:pPr>
        <w:shd w:val="clear" w:color="auto" w:fill="3C4504"/>
        <w:spacing w:after="15" w:line="456" w:lineRule="auto"/>
        <w:rPr>
          <w:rFonts w:ascii="Arial" w:eastAsia="Times New Roman" w:hAnsi="Arial" w:cs="Arial"/>
          <w:color w:val="FFFFFF"/>
          <w:szCs w:val="19"/>
          <w:lang w:val="en" w:eastAsia="en-GB"/>
        </w:rPr>
      </w:pPr>
      <w:r w:rsidRPr="00D0007E">
        <w:rPr>
          <w:rFonts w:ascii="Arial" w:eastAsia="Times New Roman" w:hAnsi="Arial" w:cs="Arial"/>
          <w:color w:val="FFFFFF"/>
          <w:szCs w:val="19"/>
          <w:lang w:val="en" w:eastAsia="en-GB"/>
        </w:rPr>
        <w:t>£1000+</w:t>
      </w:r>
      <w:r w:rsidR="00E52EFF">
        <w:rPr>
          <w:rFonts w:ascii="Arial" w:eastAsia="Times New Roman" w:hAnsi="Arial" w:cs="Arial"/>
          <w:color w:val="FFFFFF"/>
          <w:szCs w:val="19"/>
          <w:lang w:val="en" w:eastAsia="en-GB"/>
        </w:rPr>
        <w:t xml:space="preserve">   </w:t>
      </w:r>
      <w:proofErr w:type="gramStart"/>
      <w:r w:rsidRPr="00D0007E">
        <w:rPr>
          <w:rFonts w:ascii="Arial" w:eastAsia="Times New Roman" w:hAnsi="Arial" w:cs="Arial"/>
          <w:b/>
          <w:bCs/>
          <w:i/>
          <w:iCs/>
          <w:color w:val="FFFFFF"/>
          <w:szCs w:val="19"/>
          <w:lang w:val="en" w:eastAsia="en-GB"/>
        </w:rPr>
        <w:t>save</w:t>
      </w:r>
      <w:proofErr w:type="gramEnd"/>
      <w:r w:rsidRPr="00D0007E">
        <w:rPr>
          <w:rFonts w:ascii="Arial" w:eastAsia="Times New Roman" w:hAnsi="Arial" w:cs="Arial"/>
          <w:b/>
          <w:bCs/>
          <w:i/>
          <w:iCs/>
          <w:color w:val="FFFFFF"/>
          <w:szCs w:val="19"/>
          <w:lang w:val="en" w:eastAsia="en-GB"/>
        </w:rPr>
        <w:t xml:space="preserve"> 20%</w:t>
      </w:r>
    </w:p>
    <w:p w:rsidR="00D0007E" w:rsidRDefault="00D0007E"/>
    <w:p w:rsidR="00723945" w:rsidRDefault="00723945"/>
    <w:p w:rsidR="00723945" w:rsidRDefault="00723945"/>
    <w:p w:rsidR="00723945" w:rsidRDefault="00723945" w:rsidP="00723945">
      <w:pPr>
        <w:jc w:val="center"/>
      </w:pPr>
      <w:r>
        <w:rPr>
          <w:noProof/>
          <w:lang w:eastAsia="en-GB"/>
        </w:rPr>
        <w:drawing>
          <wp:inline distT="0" distB="0" distL="0" distR="0" wp14:anchorId="04C00B00" wp14:editId="08FF2674">
            <wp:extent cx="4355465" cy="963295"/>
            <wp:effectExtent l="0" t="0" r="6985" b="8255"/>
            <wp:docPr id="23" name="Picture 2" descr="T:\Staff Only\Plantation Gardens project\Logo etc\Plantation Garden Project footer banner2.jpg"/>
            <wp:cNvGraphicFramePr/>
            <a:graphic xmlns:a="http://schemas.openxmlformats.org/drawingml/2006/main">
              <a:graphicData uri="http://schemas.openxmlformats.org/drawingml/2006/picture">
                <pic:pic xmlns:pic="http://schemas.openxmlformats.org/drawingml/2006/picture">
                  <pic:nvPicPr>
                    <pic:cNvPr id="23" name="Picture 2" descr="T:\Staff Only\Plantation Gardens project\Logo etc\Plantation Garden Project footer banner2.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55465" cy="963295"/>
                    </a:xfrm>
                    <a:prstGeom prst="rect">
                      <a:avLst/>
                    </a:prstGeom>
                    <a:noFill/>
                    <a:extLst/>
                  </pic:spPr>
                </pic:pic>
              </a:graphicData>
            </a:graphic>
          </wp:inline>
        </w:drawing>
      </w:r>
    </w:p>
    <w:sectPr w:rsidR="0072394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07E"/>
    <w:rsid w:val="00723945"/>
    <w:rsid w:val="009B7079"/>
    <w:rsid w:val="00B4404B"/>
    <w:rsid w:val="00CE748F"/>
    <w:rsid w:val="00D0007E"/>
    <w:rsid w:val="00E52EFF"/>
    <w:rsid w:val="00F00F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0007E"/>
    <w:rPr>
      <w:color w:val="0000FF" w:themeColor="hyperlink"/>
      <w:u w:val="single"/>
    </w:rPr>
  </w:style>
  <w:style w:type="paragraph" w:styleId="NormalWeb">
    <w:name w:val="Normal (Web)"/>
    <w:basedOn w:val="Normal"/>
    <w:uiPriority w:val="99"/>
    <w:semiHidden/>
    <w:unhideWhenUsed/>
    <w:rsid w:val="00D0007E"/>
    <w:pPr>
      <w:spacing w:after="0" w:line="240" w:lineRule="auto"/>
    </w:pPr>
    <w:rPr>
      <w:rFonts w:ascii="Times New Roman" w:eastAsia="Times New Roman" w:hAnsi="Times New Roman" w:cs="Times New Roman"/>
      <w:sz w:val="24"/>
      <w:szCs w:val="24"/>
      <w:lang w:eastAsia="en-GB"/>
    </w:rPr>
  </w:style>
  <w:style w:type="character" w:customStyle="1" w:styleId="title14">
    <w:name w:val="title14"/>
    <w:basedOn w:val="DefaultParagraphFont"/>
    <w:rsid w:val="00D0007E"/>
  </w:style>
  <w:style w:type="character" w:customStyle="1" w:styleId="discount1">
    <w:name w:val="discount1"/>
    <w:basedOn w:val="DefaultParagraphFont"/>
    <w:rsid w:val="00D0007E"/>
    <w:rPr>
      <w:b/>
      <w:bCs/>
      <w:i/>
      <w:iCs/>
    </w:rPr>
  </w:style>
  <w:style w:type="paragraph" w:styleId="BalloonText">
    <w:name w:val="Balloon Text"/>
    <w:basedOn w:val="Normal"/>
    <w:link w:val="BalloonTextChar"/>
    <w:uiPriority w:val="99"/>
    <w:semiHidden/>
    <w:unhideWhenUsed/>
    <w:rsid w:val="00D000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007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0007E"/>
    <w:rPr>
      <w:color w:val="0000FF" w:themeColor="hyperlink"/>
      <w:u w:val="single"/>
    </w:rPr>
  </w:style>
  <w:style w:type="paragraph" w:styleId="NormalWeb">
    <w:name w:val="Normal (Web)"/>
    <w:basedOn w:val="Normal"/>
    <w:uiPriority w:val="99"/>
    <w:semiHidden/>
    <w:unhideWhenUsed/>
    <w:rsid w:val="00D0007E"/>
    <w:pPr>
      <w:spacing w:after="0" w:line="240" w:lineRule="auto"/>
    </w:pPr>
    <w:rPr>
      <w:rFonts w:ascii="Times New Roman" w:eastAsia="Times New Roman" w:hAnsi="Times New Roman" w:cs="Times New Roman"/>
      <w:sz w:val="24"/>
      <w:szCs w:val="24"/>
      <w:lang w:eastAsia="en-GB"/>
    </w:rPr>
  </w:style>
  <w:style w:type="character" w:customStyle="1" w:styleId="title14">
    <w:name w:val="title14"/>
    <w:basedOn w:val="DefaultParagraphFont"/>
    <w:rsid w:val="00D0007E"/>
  </w:style>
  <w:style w:type="character" w:customStyle="1" w:styleId="discount1">
    <w:name w:val="discount1"/>
    <w:basedOn w:val="DefaultParagraphFont"/>
    <w:rsid w:val="00D0007E"/>
    <w:rPr>
      <w:b/>
      <w:bCs/>
      <w:i/>
      <w:iCs/>
    </w:rPr>
  </w:style>
  <w:style w:type="paragraph" w:styleId="BalloonText">
    <w:name w:val="Balloon Text"/>
    <w:basedOn w:val="Normal"/>
    <w:link w:val="BalloonTextChar"/>
    <w:uiPriority w:val="99"/>
    <w:semiHidden/>
    <w:unhideWhenUsed/>
    <w:rsid w:val="00D000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007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0186154">
      <w:bodyDiv w:val="1"/>
      <w:marLeft w:val="0"/>
      <w:marRight w:val="0"/>
      <w:marTop w:val="0"/>
      <w:marBottom w:val="0"/>
      <w:divBdr>
        <w:top w:val="none" w:sz="0" w:space="0" w:color="auto"/>
        <w:left w:val="none" w:sz="0" w:space="0" w:color="auto"/>
        <w:bottom w:val="none" w:sz="0" w:space="0" w:color="auto"/>
        <w:right w:val="none" w:sz="0" w:space="0" w:color="auto"/>
      </w:divBdr>
      <w:divsChild>
        <w:div w:id="1966932972">
          <w:marLeft w:val="0"/>
          <w:marRight w:val="0"/>
          <w:marTop w:val="0"/>
          <w:marBottom w:val="0"/>
          <w:divBdr>
            <w:top w:val="none" w:sz="0" w:space="0" w:color="auto"/>
            <w:left w:val="none" w:sz="0" w:space="0" w:color="auto"/>
            <w:bottom w:val="none" w:sz="0" w:space="0" w:color="auto"/>
            <w:right w:val="none" w:sz="0" w:space="0" w:color="auto"/>
          </w:divBdr>
          <w:divsChild>
            <w:div w:id="1519737141">
              <w:marLeft w:val="0"/>
              <w:marRight w:val="0"/>
              <w:marTop w:val="0"/>
              <w:marBottom w:val="0"/>
              <w:divBdr>
                <w:top w:val="none" w:sz="0" w:space="0" w:color="auto"/>
                <w:left w:val="none" w:sz="0" w:space="0" w:color="auto"/>
                <w:bottom w:val="none" w:sz="0" w:space="0" w:color="auto"/>
                <w:right w:val="none" w:sz="0" w:space="0" w:color="auto"/>
              </w:divBdr>
              <w:divsChild>
                <w:div w:id="1242060898">
                  <w:marLeft w:val="-180"/>
                  <w:marRight w:val="-180"/>
                  <w:marTop w:val="0"/>
                  <w:marBottom w:val="0"/>
                  <w:divBdr>
                    <w:top w:val="none" w:sz="0" w:space="0" w:color="auto"/>
                    <w:left w:val="none" w:sz="0" w:space="0" w:color="auto"/>
                    <w:bottom w:val="none" w:sz="0" w:space="0" w:color="auto"/>
                    <w:right w:val="none" w:sz="0" w:space="0" w:color="auto"/>
                  </w:divBdr>
                  <w:divsChild>
                    <w:div w:id="1081870622">
                      <w:marLeft w:val="0"/>
                      <w:marRight w:val="0"/>
                      <w:marTop w:val="0"/>
                      <w:marBottom w:val="0"/>
                      <w:divBdr>
                        <w:top w:val="none" w:sz="0" w:space="0" w:color="auto"/>
                        <w:left w:val="none" w:sz="0" w:space="0" w:color="auto"/>
                        <w:bottom w:val="none" w:sz="0" w:space="0" w:color="auto"/>
                        <w:right w:val="none" w:sz="0" w:space="0" w:color="auto"/>
                      </w:divBdr>
                      <w:divsChild>
                        <w:div w:id="22900279">
                          <w:marLeft w:val="0"/>
                          <w:marRight w:val="0"/>
                          <w:marTop w:val="150"/>
                          <w:marBottom w:val="15"/>
                          <w:divBdr>
                            <w:top w:val="none" w:sz="0" w:space="0" w:color="auto"/>
                            <w:left w:val="none" w:sz="0" w:space="0" w:color="auto"/>
                            <w:bottom w:val="none" w:sz="0" w:space="0" w:color="auto"/>
                            <w:right w:val="none" w:sz="0" w:space="0" w:color="auto"/>
                          </w:divBdr>
                        </w:div>
                        <w:div w:id="1441410747">
                          <w:marLeft w:val="0"/>
                          <w:marRight w:val="0"/>
                          <w:marTop w:val="150"/>
                          <w:marBottom w:val="15"/>
                          <w:divBdr>
                            <w:top w:val="none" w:sz="0" w:space="0" w:color="auto"/>
                            <w:left w:val="none" w:sz="0" w:space="0" w:color="auto"/>
                            <w:bottom w:val="none" w:sz="0" w:space="0" w:color="auto"/>
                            <w:right w:val="none" w:sz="0" w:space="0" w:color="auto"/>
                          </w:divBdr>
                        </w:div>
                        <w:div w:id="1580940596">
                          <w:marLeft w:val="0"/>
                          <w:marRight w:val="0"/>
                          <w:marTop w:val="0"/>
                          <w:marBottom w:val="15"/>
                          <w:divBdr>
                            <w:top w:val="none" w:sz="0" w:space="0" w:color="auto"/>
                            <w:left w:val="none" w:sz="0" w:space="0" w:color="auto"/>
                            <w:bottom w:val="none" w:sz="0" w:space="0" w:color="auto"/>
                            <w:right w:val="none" w:sz="0" w:space="0" w:color="auto"/>
                          </w:divBdr>
                        </w:div>
                        <w:div w:id="2632134">
                          <w:marLeft w:val="0"/>
                          <w:marRight w:val="0"/>
                          <w:marTop w:val="0"/>
                          <w:marBottom w:val="15"/>
                          <w:divBdr>
                            <w:top w:val="none" w:sz="0" w:space="0" w:color="auto"/>
                            <w:left w:val="none" w:sz="0" w:space="0" w:color="auto"/>
                            <w:bottom w:val="none" w:sz="0" w:space="0" w:color="auto"/>
                            <w:right w:val="none" w:sz="0" w:space="0" w:color="auto"/>
                          </w:divBdr>
                        </w:div>
                        <w:div w:id="674574926">
                          <w:marLeft w:val="0"/>
                          <w:marRight w:val="0"/>
                          <w:marTop w:val="0"/>
                          <w:marBottom w:val="15"/>
                          <w:divBdr>
                            <w:top w:val="none" w:sz="0" w:space="0" w:color="auto"/>
                            <w:left w:val="none" w:sz="0" w:space="0" w:color="auto"/>
                            <w:bottom w:val="none" w:sz="0" w:space="0" w:color="auto"/>
                            <w:right w:val="none" w:sz="0" w:space="0" w:color="auto"/>
                          </w:divBdr>
                        </w:div>
                        <w:div w:id="1651396744">
                          <w:marLeft w:val="0"/>
                          <w:marRight w:val="0"/>
                          <w:marTop w:val="0"/>
                          <w:marBottom w:val="15"/>
                          <w:divBdr>
                            <w:top w:val="none" w:sz="0" w:space="0" w:color="auto"/>
                            <w:left w:val="none" w:sz="0" w:space="0" w:color="auto"/>
                            <w:bottom w:val="none" w:sz="0" w:space="0" w:color="auto"/>
                            <w:right w:val="none" w:sz="0" w:space="0" w:color="auto"/>
                          </w:divBdr>
                        </w:div>
                        <w:div w:id="257325078">
                          <w:marLeft w:val="0"/>
                          <w:marRight w:val="0"/>
                          <w:marTop w:val="0"/>
                          <w:marBottom w:val="15"/>
                          <w:divBdr>
                            <w:top w:val="none" w:sz="0" w:space="0" w:color="auto"/>
                            <w:left w:val="none" w:sz="0" w:space="0" w:color="auto"/>
                            <w:bottom w:val="none" w:sz="0" w:space="0" w:color="auto"/>
                            <w:right w:val="none" w:sz="0" w:space="0" w:color="auto"/>
                          </w:divBdr>
                        </w:div>
                        <w:div w:id="385298724">
                          <w:marLeft w:val="0"/>
                          <w:marRight w:val="0"/>
                          <w:marTop w:val="0"/>
                          <w:marBottom w:val="15"/>
                          <w:divBdr>
                            <w:top w:val="none" w:sz="0" w:space="0" w:color="auto"/>
                            <w:left w:val="none" w:sz="0" w:space="0" w:color="auto"/>
                            <w:bottom w:val="none" w:sz="0" w:space="0" w:color="auto"/>
                            <w:right w:val="none" w:sz="0" w:space="0" w:color="auto"/>
                          </w:divBdr>
                        </w:div>
                        <w:div w:id="1182358503">
                          <w:marLeft w:val="0"/>
                          <w:marRight w:val="0"/>
                          <w:marTop w:val="0"/>
                          <w:marBottom w:val="15"/>
                          <w:divBdr>
                            <w:top w:val="none" w:sz="0" w:space="0" w:color="auto"/>
                            <w:left w:val="none" w:sz="0" w:space="0" w:color="auto"/>
                            <w:bottom w:val="none" w:sz="0" w:space="0" w:color="auto"/>
                            <w:right w:val="none" w:sz="0" w:space="0" w:color="auto"/>
                          </w:divBdr>
                        </w:div>
                        <w:div w:id="1454523815">
                          <w:marLeft w:val="0"/>
                          <w:marRight w:val="0"/>
                          <w:marTop w:val="0"/>
                          <w:marBottom w:val="1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plantationgarden.co.uk/wordpress/wp-content/uploads/2015/06/Scan0001.jpg"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http://plantationgarden.co.uk/wordpress/wp-content/uploads/2015/06/Scan0002.jpg" TargetMode="External"/><Relationship Id="rId10" Type="http://schemas.openxmlformats.org/officeDocument/2006/relationships/hyperlink" Target="https://www.blomsbulbs.com/" TargetMode="Externa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346</Words>
  <Characters>1973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Ergo Computing UK Ltd</Company>
  <LinksUpToDate>false</LinksUpToDate>
  <CharactersWithSpaces>2315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MrChambers</dc:creator>
  <cp:lastModifiedBy>MrChambers</cp:lastModifiedBy>
  <cp:revision>4</cp:revision>
  <dcterms:created xsi:type="dcterms:W3CDTF">2016-05-19T08:15:00Z</dcterms:created>
  <dcterms:modified xsi:type="dcterms:W3CDTF">2016-06-15T13:14:00Z</dcterms:modified>
</cp:coreProperties>
</file>